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F3744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37446" w:rsidRDefault="00B50F8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446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7446" w:rsidRDefault="00B50F8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Ленинградской области от 28.11.2025 N 986</w:t>
            </w:r>
            <w:r>
              <w:rPr>
                <w:sz w:val="48"/>
              </w:rPr>
              <w:br/>
              <w:t>"Об утверждении тарифов на социальные услуги на 2026 год"</w:t>
            </w:r>
          </w:p>
        </w:tc>
      </w:tr>
      <w:tr w:rsidR="00F37446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7446" w:rsidRPr="00732578" w:rsidRDefault="00B50F85" w:rsidP="00732578">
            <w:pPr>
              <w:pStyle w:val="ConsPlusTitlePage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F37446" w:rsidRDefault="00F37446">
      <w:pPr>
        <w:pStyle w:val="ConsPlusNormal0"/>
        <w:sectPr w:rsidR="00F374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37446" w:rsidRDefault="00F37446">
      <w:pPr>
        <w:pStyle w:val="ConsPlusNormal0"/>
        <w:outlineLvl w:val="0"/>
      </w:pPr>
    </w:p>
    <w:p w:rsidR="00F37446" w:rsidRDefault="00B50F85">
      <w:pPr>
        <w:pStyle w:val="ConsPlusTitle0"/>
        <w:jc w:val="center"/>
        <w:outlineLvl w:val="0"/>
      </w:pPr>
      <w:r>
        <w:t>ПРАВИТЕЛЬСТВО ЛЕНИНГРАДСКОЙ ОБЛАСТИ</w:t>
      </w:r>
    </w:p>
    <w:p w:rsidR="00F37446" w:rsidRDefault="00F37446">
      <w:pPr>
        <w:pStyle w:val="ConsPlusTitle0"/>
        <w:jc w:val="center"/>
      </w:pPr>
    </w:p>
    <w:p w:rsidR="00F37446" w:rsidRDefault="00B50F85">
      <w:pPr>
        <w:pStyle w:val="ConsPlusTitle0"/>
        <w:jc w:val="center"/>
      </w:pPr>
      <w:r>
        <w:t>ПОСТАНОВЛЕНИЕ</w:t>
      </w:r>
    </w:p>
    <w:p w:rsidR="00F37446" w:rsidRDefault="00B50F85">
      <w:pPr>
        <w:pStyle w:val="ConsPlusTitle0"/>
        <w:jc w:val="center"/>
      </w:pPr>
      <w:r>
        <w:t>от 28 ноября 2025 г. N 986</w:t>
      </w:r>
    </w:p>
    <w:p w:rsidR="00F37446" w:rsidRDefault="00F37446">
      <w:pPr>
        <w:pStyle w:val="ConsPlusTitle0"/>
        <w:jc w:val="center"/>
      </w:pPr>
    </w:p>
    <w:p w:rsidR="00F37446" w:rsidRDefault="00B50F85">
      <w:pPr>
        <w:pStyle w:val="ConsPlusTitle0"/>
        <w:jc w:val="center"/>
      </w:pPr>
      <w:r>
        <w:t>ОБ УТВЕРЖДЕНИИ ТАРИФОВ НА СОЦИАЛЬНЫЕ УСЛУГИ НА 2026 ГОД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B50F8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областным </w:t>
      </w:r>
      <w:hyperlink r:id="rId10" w:tooltip="Областной закон Ленинградской области от 30.10.2014 N 72-оз (ред. от 09.07.2024) &quot;О социальном обслуживании граждан в Ленинградской области&quot; (принят ЗС ЛО 22.10.2014) {КонсультантПлюс}">
        <w:r>
          <w:rPr>
            <w:color w:val="0000FF"/>
          </w:rPr>
          <w:t>законом</w:t>
        </w:r>
      </w:hyperlink>
      <w:r>
        <w:t xml:space="preserve"> от 30 октября 2014 года N 72-оз "О социальном обслуживании граждан в Ленинградской области" Правительство Ленинградской области постановляет: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B50F85">
      <w:pPr>
        <w:pStyle w:val="ConsPlusNormal0"/>
        <w:ind w:firstLine="540"/>
        <w:jc w:val="both"/>
      </w:pPr>
      <w:r>
        <w:t xml:space="preserve">1. Утвердить </w:t>
      </w:r>
      <w:hyperlink w:anchor="P28" w:tooltip="ТАРИФЫ">
        <w:r>
          <w:rPr>
            <w:color w:val="0000FF"/>
          </w:rPr>
          <w:t>тарифы</w:t>
        </w:r>
      </w:hyperlink>
      <w:r>
        <w:t xml:space="preserve"> на социальные услуги на 2026 год согласно приложению.</w:t>
      </w:r>
    </w:p>
    <w:p w:rsidR="00F37446" w:rsidRDefault="00B50F85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F37446" w:rsidRDefault="00B50F85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января 2026 года.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B50F85">
      <w:pPr>
        <w:pStyle w:val="ConsPlusNormal0"/>
        <w:jc w:val="right"/>
      </w:pPr>
      <w:r>
        <w:t>Губернатор</w:t>
      </w:r>
    </w:p>
    <w:p w:rsidR="00F37446" w:rsidRDefault="00B50F85">
      <w:pPr>
        <w:pStyle w:val="ConsPlusNormal0"/>
        <w:jc w:val="right"/>
      </w:pPr>
      <w:r>
        <w:t>Ленинградской области</w:t>
      </w:r>
    </w:p>
    <w:p w:rsidR="00F37446" w:rsidRDefault="00B50F85">
      <w:pPr>
        <w:pStyle w:val="ConsPlusNormal0"/>
        <w:jc w:val="right"/>
      </w:pPr>
      <w:r>
        <w:t>А.Дрозденко</w:t>
      </w:r>
    </w:p>
    <w:p w:rsidR="00F37446" w:rsidRDefault="00F37446">
      <w:pPr>
        <w:pStyle w:val="ConsPlusNormal0"/>
      </w:pPr>
    </w:p>
    <w:p w:rsidR="00792757" w:rsidRDefault="00792757">
      <w:pPr>
        <w:rPr>
          <w:sz w:val="24"/>
        </w:rPr>
      </w:pPr>
      <w:r>
        <w:br w:type="page"/>
      </w:r>
    </w:p>
    <w:p w:rsidR="00F37446" w:rsidRDefault="00B50F85">
      <w:pPr>
        <w:pStyle w:val="ConsPlusNormal0"/>
        <w:jc w:val="right"/>
        <w:outlineLvl w:val="0"/>
      </w:pPr>
      <w:r>
        <w:lastRenderedPageBreak/>
        <w:t>УТВЕРЖДЕНЫ</w:t>
      </w:r>
    </w:p>
    <w:p w:rsidR="00F37446" w:rsidRDefault="00B50F85">
      <w:pPr>
        <w:pStyle w:val="ConsPlusNormal0"/>
        <w:jc w:val="right"/>
      </w:pPr>
      <w:r>
        <w:t>постановлением Правительства</w:t>
      </w:r>
    </w:p>
    <w:p w:rsidR="00F37446" w:rsidRDefault="00B50F85">
      <w:pPr>
        <w:pStyle w:val="ConsPlusNormal0"/>
        <w:jc w:val="right"/>
      </w:pPr>
      <w:r>
        <w:t>Ленинградской области</w:t>
      </w:r>
    </w:p>
    <w:p w:rsidR="00F37446" w:rsidRDefault="00B50F85">
      <w:pPr>
        <w:pStyle w:val="ConsPlusNormal0"/>
        <w:jc w:val="right"/>
      </w:pPr>
      <w:r>
        <w:t>от 28.11.2025 N 986</w:t>
      </w:r>
    </w:p>
    <w:p w:rsidR="00F37446" w:rsidRDefault="00B50F85">
      <w:pPr>
        <w:pStyle w:val="ConsPlusNormal0"/>
        <w:jc w:val="right"/>
      </w:pPr>
      <w:r>
        <w:t>(</w:t>
      </w:r>
      <w:r w:rsidR="00C37710">
        <w:t>выдержка</w:t>
      </w:r>
      <w:r>
        <w:t>)</w:t>
      </w:r>
    </w:p>
    <w:p w:rsidR="00F37446" w:rsidRDefault="00F37446">
      <w:pPr>
        <w:pStyle w:val="ConsPlusNormal0"/>
        <w:ind w:firstLine="540"/>
        <w:jc w:val="both"/>
      </w:pPr>
    </w:p>
    <w:p w:rsidR="00F37446" w:rsidRDefault="00B50F85">
      <w:pPr>
        <w:pStyle w:val="ConsPlusTitle0"/>
        <w:jc w:val="center"/>
      </w:pPr>
      <w:bookmarkStart w:id="0" w:name="P28"/>
      <w:bookmarkEnd w:id="0"/>
      <w:r>
        <w:t>ТАРИФЫ</w:t>
      </w:r>
    </w:p>
    <w:p w:rsidR="00F37446" w:rsidRDefault="00B50F85">
      <w:pPr>
        <w:pStyle w:val="ConsPlusTitle0"/>
        <w:jc w:val="center"/>
      </w:pPr>
      <w:r>
        <w:t>НА СОЦИАЛЬНЫЕ УСЛУГИ НА 2026 ГОД</w:t>
      </w:r>
    </w:p>
    <w:p w:rsidR="00F37446" w:rsidRDefault="00F3744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4088"/>
        <w:gridCol w:w="1361"/>
        <w:gridCol w:w="1701"/>
        <w:gridCol w:w="1474"/>
      </w:tblGrid>
      <w:tr w:rsidR="00F37446" w:rsidTr="00792757">
        <w:tc>
          <w:tcPr>
            <w:tcW w:w="9701" w:type="dxa"/>
            <w:gridSpan w:val="5"/>
          </w:tcPr>
          <w:p w:rsidR="00F37446" w:rsidRDefault="00B50F85">
            <w:pPr>
              <w:pStyle w:val="ConsPlusNormal0"/>
              <w:jc w:val="center"/>
              <w:outlineLvl w:val="1"/>
            </w:pPr>
            <w:bookmarkStart w:id="1" w:name="P725"/>
            <w:bookmarkEnd w:id="1"/>
            <w:r>
              <w:t>4. Социальные услуги, предоставляемые совершеннолетним гражданам в полустационарной форме социального обслуживания с дневным пребыванием</w:t>
            </w:r>
          </w:p>
        </w:tc>
      </w:tr>
      <w:tr w:rsidR="00DA22CD" w:rsidTr="00EB2863">
        <w:tc>
          <w:tcPr>
            <w:tcW w:w="1077" w:type="dxa"/>
          </w:tcPr>
          <w:p w:rsidR="00DA22CD" w:rsidRDefault="00DA22CD" w:rsidP="00EB2863">
            <w:pPr>
              <w:pStyle w:val="ConsPlusNormal0"/>
              <w:jc w:val="center"/>
            </w:pPr>
            <w:r w:rsidRPr="00006AA1">
              <w:t xml:space="preserve">№ </w:t>
            </w:r>
            <w:proofErr w:type="spellStart"/>
            <w:proofErr w:type="gramStart"/>
            <w:r w:rsidRPr="00006AA1">
              <w:t>п</w:t>
            </w:r>
            <w:proofErr w:type="spellEnd"/>
            <w:proofErr w:type="gramEnd"/>
            <w:r w:rsidRPr="00006AA1">
              <w:t>/</w:t>
            </w:r>
            <w:proofErr w:type="spellStart"/>
            <w:r w:rsidRPr="00006AA1">
              <w:t>п</w:t>
            </w:r>
            <w:proofErr w:type="spellEnd"/>
            <w:r w:rsidRPr="00006AA1">
              <w:t xml:space="preserve"> </w:t>
            </w:r>
          </w:p>
        </w:tc>
        <w:tc>
          <w:tcPr>
            <w:tcW w:w="4088" w:type="dxa"/>
          </w:tcPr>
          <w:p w:rsidR="00DA22CD" w:rsidRDefault="00DA22CD" w:rsidP="00EB2863">
            <w:pPr>
              <w:pStyle w:val="ConsPlusNormal0"/>
            </w:pPr>
            <w:r w:rsidRPr="00006AA1">
              <w:t>Наименование социальной услуги</w:t>
            </w:r>
          </w:p>
        </w:tc>
        <w:tc>
          <w:tcPr>
            <w:tcW w:w="1361" w:type="dxa"/>
          </w:tcPr>
          <w:p w:rsidR="00DA22CD" w:rsidRDefault="00DA22CD" w:rsidP="00EB2863">
            <w:pPr>
              <w:pStyle w:val="ConsPlusNormal0"/>
              <w:jc w:val="center"/>
            </w:pPr>
            <w:r w:rsidRPr="00006AA1">
              <w:t>Среднее время оказания социальной услуги (мин.)</w:t>
            </w:r>
          </w:p>
        </w:tc>
        <w:tc>
          <w:tcPr>
            <w:tcW w:w="1701" w:type="dxa"/>
          </w:tcPr>
          <w:p w:rsidR="00DA22CD" w:rsidRDefault="00DA22CD" w:rsidP="00EB2863">
            <w:pPr>
              <w:pStyle w:val="ConsPlusNormal0"/>
              <w:jc w:val="center"/>
            </w:pPr>
            <w:r w:rsidRPr="00006AA1">
              <w:t>Максимальное количество социальных услуг в месяц (ед.)</w:t>
            </w:r>
          </w:p>
        </w:tc>
        <w:tc>
          <w:tcPr>
            <w:tcW w:w="1474" w:type="dxa"/>
          </w:tcPr>
          <w:p w:rsidR="00DA22CD" w:rsidRDefault="00DA22CD" w:rsidP="00EB2863">
            <w:pPr>
              <w:pStyle w:val="ConsPlusNormal0"/>
              <w:jc w:val="center"/>
            </w:pPr>
            <w:r w:rsidRPr="00006AA1">
              <w:t>Тарифы на разовую социальную услугу (руб.) (НДС не облагаются)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Социально-бытовые услуги, социально-медицинские услуги, в том числе:</w:t>
            </w:r>
          </w:p>
        </w:tc>
        <w:tc>
          <w:tcPr>
            <w:tcW w:w="1361" w:type="dxa"/>
            <w:vMerge w:val="restart"/>
          </w:tcPr>
          <w:p w:rsidR="00F37446" w:rsidRDefault="00B50F85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701" w:type="dxa"/>
            <w:vMerge w:val="restart"/>
          </w:tcPr>
          <w:p w:rsidR="00F37446" w:rsidRDefault="00B50F8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474" w:type="dxa"/>
            <w:vMerge w:val="restart"/>
          </w:tcPr>
          <w:p w:rsidR="00F37446" w:rsidRDefault="00B50F85">
            <w:pPr>
              <w:pStyle w:val="ConsPlusNormal0"/>
              <w:jc w:val="center"/>
            </w:pPr>
            <w:r>
              <w:t>524,21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Социально-бытовые услуги: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4.1.1.1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4.1.1.2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Уборка жилых помещений и мест общего пользования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4.1.1.3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Обеспечение питанием в соответствии с утвержденными нормативами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4.1.1.4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Обеспечение мягким инвентарем (нательным бельем и постельными принадлежностями) согласно утвержденным нормативам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Социально-медицинские услуги: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4.1.2.1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лекарственных препаратов и др.)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4.1.2.2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6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701" w:type="dxa"/>
            <w:vMerge/>
          </w:tcPr>
          <w:p w:rsidR="00F37446" w:rsidRDefault="00F37446">
            <w:pPr>
              <w:pStyle w:val="ConsPlusNormal0"/>
            </w:pPr>
          </w:p>
        </w:tc>
        <w:tc>
          <w:tcPr>
            <w:tcW w:w="1474" w:type="dxa"/>
            <w:vMerge/>
          </w:tcPr>
          <w:p w:rsidR="00F37446" w:rsidRDefault="00F37446">
            <w:pPr>
              <w:pStyle w:val="ConsPlusNormal0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Социально-бытовые услуги (в дополнение к услугам, указанным в </w:t>
            </w:r>
            <w:hyperlink w:anchor="P725" w:tooltip="4. Социальные услуги, предоставляемые совершеннолетним гражданам в полустационарной форме социального обслуживания с дневным пребыванием">
              <w:r>
                <w:rPr>
                  <w:color w:val="0000FF"/>
                </w:rPr>
                <w:t>пункте 4</w:t>
              </w:r>
            </w:hyperlink>
            <w:r>
              <w:t>):</w:t>
            </w:r>
          </w:p>
        </w:tc>
        <w:tc>
          <w:tcPr>
            <w:tcW w:w="136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F37446" w:rsidRDefault="00F37446">
            <w:pPr>
              <w:pStyle w:val="ConsPlusNormal0"/>
              <w:jc w:val="center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lastRenderedPageBreak/>
              <w:t>4.2.1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82,25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Социально-медицинские услуги (в дополнение к услугам, указанным в </w:t>
            </w:r>
            <w:hyperlink w:anchor="P725" w:tooltip="4. Социальные услуги, предоставляемые совершеннолетним гражданам в полустационарной форме социального обслуживания с дневным пребыванием">
              <w:r>
                <w:rPr>
                  <w:color w:val="0000FF"/>
                </w:rPr>
                <w:t>пункте 4</w:t>
              </w:r>
            </w:hyperlink>
            <w:r>
              <w:t>):</w:t>
            </w:r>
          </w:p>
        </w:tc>
        <w:tc>
          <w:tcPr>
            <w:tcW w:w="136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F37446" w:rsidRDefault="00F37446">
            <w:pPr>
              <w:pStyle w:val="ConsPlusNormal0"/>
              <w:jc w:val="center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12,46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Массаж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173,14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4.3.3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Лечебная физкультура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15,03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4.3.4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proofErr w:type="spellStart"/>
            <w:r>
              <w:t>Физиопроцедуры</w:t>
            </w:r>
            <w:proofErr w:type="spellEnd"/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53,07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4.3.5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108,46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4.3.6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14,38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4.3.7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Проведение занятий по адаптивной физической культуре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10,01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Социально-психологические услуги (в дополнение к услугам, указанным в </w:t>
            </w:r>
            <w:hyperlink w:anchor="P725" w:tooltip="4. Социальные услуги, предоставляемые совершеннолетним гражданам в полустационарной форме социального обслуживания с дневным пребыванием">
              <w:r>
                <w:rPr>
                  <w:color w:val="0000FF"/>
                </w:rPr>
                <w:t>пункте 4</w:t>
              </w:r>
            </w:hyperlink>
            <w:r>
              <w:t>):</w:t>
            </w:r>
          </w:p>
        </w:tc>
        <w:tc>
          <w:tcPr>
            <w:tcW w:w="136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F37446" w:rsidRDefault="00F37446">
            <w:pPr>
              <w:pStyle w:val="ConsPlusNormal0"/>
              <w:jc w:val="center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4.4.1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Социально-психологическое консультирование, в том числе по вопросам внутрисемейных отношений, включая диагностику и коррекцию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150,46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4.4.1.1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Социально-психологическое консультирование, в том числе по вопросам внутрисемейных отношений, включая диагностику и коррекцию для больных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226,19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4.4.2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49,61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4.4.2.1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Социально-психологический патронаж для больных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49,61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Социально-педагогические услуги (в </w:t>
            </w:r>
            <w:r>
              <w:lastRenderedPageBreak/>
              <w:t xml:space="preserve">дополнение к услугам, указанным в </w:t>
            </w:r>
            <w:hyperlink w:anchor="P725" w:tooltip="4. Социальные услуги, предоставляемые совершеннолетним гражданам в полустационарной форме социального обслуживания с дневным пребыванием">
              <w:r>
                <w:rPr>
                  <w:color w:val="0000FF"/>
                </w:rPr>
                <w:t>пункте 4</w:t>
              </w:r>
            </w:hyperlink>
            <w:r>
              <w:t>):</w:t>
            </w:r>
          </w:p>
        </w:tc>
        <w:tc>
          <w:tcPr>
            <w:tcW w:w="136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F37446" w:rsidRDefault="00F37446">
            <w:pPr>
              <w:pStyle w:val="ConsPlusNormal0"/>
              <w:jc w:val="center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lastRenderedPageBreak/>
              <w:t>4.5.1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115,61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4.5.2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17,58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4.5.3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19,58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4.5.3.1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Формирование позитивных интересов получателей социальных услуг (в том числе в сфере досуга) для больных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19,58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4.5.4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4,05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4.5.4.1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Организация досуга (праздники, экскурсии и другие культурные мероприятия) для больных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4,05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Социально-трудовые услуги (в дополнение к услугам, указанным в </w:t>
            </w:r>
            <w:hyperlink w:anchor="P725" w:tooltip="4. Социальные услуги, предоставляемые совершеннолетним гражданам в полустационарной форме социального обслуживания с дневным пребыванием">
              <w:r>
                <w:rPr>
                  <w:color w:val="0000FF"/>
                </w:rPr>
                <w:t>пункте 4</w:t>
              </w:r>
            </w:hyperlink>
            <w:r>
              <w:t>):</w:t>
            </w:r>
          </w:p>
        </w:tc>
        <w:tc>
          <w:tcPr>
            <w:tcW w:w="136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F37446" w:rsidRDefault="00F37446">
            <w:pPr>
              <w:pStyle w:val="ConsPlusNormal0"/>
              <w:jc w:val="center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4.6.1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293,78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4.6.2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Оказание помощи в трудоустройстве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104,83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4.6.2.1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Оказание помощи в трудоустройстве для больных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315,19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4.6.3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Организация помощи в получении образования </w:t>
            </w:r>
            <w:proofErr w:type="gramStart"/>
            <w:r>
              <w:t>и(</w:t>
            </w:r>
            <w:proofErr w:type="gramEnd"/>
            <w:r>
              <w:t>или) профессии инвалидами в соответствии с их способностями, оказание помощи в трудоустройстве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172,56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Услуги в целях повышения коммуникативного потенциала получателей социальных услуг (в дополнение к услугам, указанным в </w:t>
            </w:r>
            <w:hyperlink w:anchor="P725" w:tooltip="4. Социальные услуги, предоставляемые совершеннолетним гражданам в полустационарной форме социального обслуживания с дневным пребыванием">
              <w:r>
                <w:rPr>
                  <w:color w:val="0000FF"/>
                </w:rPr>
                <w:t>пункте 4</w:t>
              </w:r>
            </w:hyperlink>
            <w:r>
              <w:t>):</w:t>
            </w:r>
          </w:p>
        </w:tc>
        <w:tc>
          <w:tcPr>
            <w:tcW w:w="136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F37446" w:rsidRDefault="00F37446">
            <w:pPr>
              <w:pStyle w:val="ConsPlusNormal0"/>
              <w:jc w:val="center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4.7.1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Обучение инвалидов пользованию </w:t>
            </w:r>
            <w:r>
              <w:lastRenderedPageBreak/>
              <w:t>средствами ухода и техническими средствами реабилитации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lastRenderedPageBreak/>
              <w:t>30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110,54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lastRenderedPageBreak/>
              <w:t>4.7.2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196,29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4.7.3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146,90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Социально-правовые услуги (в дополнение к услугам, указанным в </w:t>
            </w:r>
            <w:hyperlink w:anchor="P725" w:tooltip="4. Социальные услуги, предоставляемые совершеннолетним гражданам в полустационарной форме социального обслуживания с дневным пребыванием">
              <w:r>
                <w:rPr>
                  <w:color w:val="0000FF"/>
                </w:rPr>
                <w:t>пункте 4</w:t>
              </w:r>
            </w:hyperlink>
            <w:r>
              <w:t>):</w:t>
            </w:r>
          </w:p>
        </w:tc>
        <w:tc>
          <w:tcPr>
            <w:tcW w:w="136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F37446" w:rsidRDefault="00F37446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F37446" w:rsidRDefault="00F37446">
            <w:pPr>
              <w:pStyle w:val="ConsPlusNormal0"/>
              <w:jc w:val="center"/>
            </w:pP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4.8.1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 xml:space="preserve">Оказание помощи в оформлении </w:t>
            </w:r>
            <w:proofErr w:type="gramStart"/>
            <w:r>
              <w:t>и(</w:t>
            </w:r>
            <w:proofErr w:type="gramEnd"/>
            <w:r>
              <w:t>или) восстановлении документов получателя социальных услуг для больных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90,92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4.8.2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Оказание помощи в получении юридических услуг (в том числе бесплатной юридической помощи) больным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49,61</w:t>
            </w:r>
          </w:p>
        </w:tc>
      </w:tr>
      <w:tr w:rsidR="00F37446" w:rsidTr="00792757">
        <w:tc>
          <w:tcPr>
            <w:tcW w:w="1077" w:type="dxa"/>
          </w:tcPr>
          <w:p w:rsidR="00F37446" w:rsidRDefault="00B50F85">
            <w:pPr>
              <w:pStyle w:val="ConsPlusNormal0"/>
              <w:jc w:val="center"/>
            </w:pPr>
            <w:r>
              <w:t>4.8.3</w:t>
            </w:r>
          </w:p>
        </w:tc>
        <w:tc>
          <w:tcPr>
            <w:tcW w:w="4088" w:type="dxa"/>
          </w:tcPr>
          <w:p w:rsidR="00F37446" w:rsidRDefault="00B50F85">
            <w:pPr>
              <w:pStyle w:val="ConsPlusNormal0"/>
            </w:pPr>
            <w:r>
              <w:t>Оказание помощи в защите прав и законных интересов получателей социальных услуг больным наркоманией</w:t>
            </w:r>
          </w:p>
        </w:tc>
        <w:tc>
          <w:tcPr>
            <w:tcW w:w="1361" w:type="dxa"/>
          </w:tcPr>
          <w:p w:rsidR="00F37446" w:rsidRDefault="00B50F8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37446" w:rsidRDefault="00B50F8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F37446" w:rsidRDefault="00B50F85">
            <w:pPr>
              <w:pStyle w:val="ConsPlusNormal0"/>
              <w:jc w:val="center"/>
            </w:pPr>
            <w:r>
              <w:t>90,92</w:t>
            </w:r>
          </w:p>
        </w:tc>
      </w:tr>
    </w:tbl>
    <w:p w:rsidR="00F37446" w:rsidRDefault="00F374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P922"/>
      <w:bookmarkEnd w:id="2"/>
    </w:p>
    <w:sectPr w:rsidR="00F37446" w:rsidSect="007927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46" w:rsidRDefault="00F37446" w:rsidP="00F37446">
      <w:r>
        <w:separator/>
      </w:r>
    </w:p>
  </w:endnote>
  <w:endnote w:type="continuationSeparator" w:id="0">
    <w:p w:rsidR="00F37446" w:rsidRDefault="00F37446" w:rsidP="00F37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46" w:rsidRDefault="00F37446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46" w:rsidRDefault="00F374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207"/>
      <w:gridCol w:w="3304"/>
      <w:gridCol w:w="3207"/>
    </w:tblGrid>
    <w:tr w:rsidR="00F37446">
      <w:trPr>
        <w:trHeight w:hRule="exact" w:val="1663"/>
      </w:trPr>
      <w:tc>
        <w:tcPr>
          <w:tcW w:w="1650" w:type="pct"/>
          <w:vAlign w:val="center"/>
        </w:tcPr>
        <w:p w:rsidR="00F37446" w:rsidRDefault="00B50F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7446" w:rsidRDefault="005A1832">
          <w:pPr>
            <w:pStyle w:val="ConsPlusNormal0"/>
            <w:jc w:val="center"/>
          </w:pPr>
          <w:hyperlink r:id="rId1">
            <w:r w:rsidR="00B50F8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7446" w:rsidRDefault="00B50F8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A183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A1832">
            <w:fldChar w:fldCharType="separate"/>
          </w:r>
          <w:r w:rsidR="00792757">
            <w:rPr>
              <w:rFonts w:ascii="Tahoma" w:hAnsi="Tahoma" w:cs="Tahoma"/>
              <w:noProof/>
            </w:rPr>
            <w:t>2</w:t>
          </w:r>
          <w:r w:rsidR="005A183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A183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A1832">
            <w:fldChar w:fldCharType="separate"/>
          </w:r>
          <w:r w:rsidR="00732578">
            <w:rPr>
              <w:rFonts w:ascii="Tahoma" w:hAnsi="Tahoma" w:cs="Tahoma"/>
              <w:noProof/>
            </w:rPr>
            <w:t>6</w:t>
          </w:r>
          <w:r w:rsidR="005A1832">
            <w:fldChar w:fldCharType="end"/>
          </w:r>
        </w:p>
      </w:tc>
    </w:tr>
  </w:tbl>
  <w:p w:rsidR="00F37446" w:rsidRDefault="00B50F8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46" w:rsidRDefault="00F37446" w:rsidP="00F37446">
      <w:r>
        <w:separator/>
      </w:r>
    </w:p>
  </w:footnote>
  <w:footnote w:type="continuationSeparator" w:id="0">
    <w:p w:rsidR="00F37446" w:rsidRDefault="00F37446" w:rsidP="00F37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46" w:rsidRDefault="00F3744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248"/>
      <w:gridCol w:w="4470"/>
    </w:tblGrid>
    <w:tr w:rsidR="00F37446">
      <w:trPr>
        <w:trHeight w:hRule="exact" w:val="1683"/>
      </w:trPr>
      <w:tc>
        <w:tcPr>
          <w:tcW w:w="2700" w:type="pct"/>
          <w:vAlign w:val="center"/>
        </w:tcPr>
        <w:p w:rsidR="00F37446" w:rsidRDefault="00B50F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28.11.2025 N 986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социальные услуги на 20...</w:t>
          </w:r>
        </w:p>
      </w:tc>
      <w:tc>
        <w:tcPr>
          <w:tcW w:w="2300" w:type="pct"/>
          <w:vAlign w:val="center"/>
        </w:tcPr>
        <w:p w:rsidR="00F37446" w:rsidRDefault="00B50F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F37446" w:rsidRDefault="00F374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7446" w:rsidRDefault="00F3744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446"/>
    <w:rsid w:val="005A1832"/>
    <w:rsid w:val="00732578"/>
    <w:rsid w:val="00792757"/>
    <w:rsid w:val="007E798A"/>
    <w:rsid w:val="00B50F85"/>
    <w:rsid w:val="00C37710"/>
    <w:rsid w:val="00D517E5"/>
    <w:rsid w:val="00DA22CD"/>
    <w:rsid w:val="00F3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3744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3744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3744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374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F3744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374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F3744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3744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F374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F37446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927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27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2757"/>
  </w:style>
  <w:style w:type="paragraph" w:styleId="a7">
    <w:name w:val="footer"/>
    <w:basedOn w:val="a"/>
    <w:link w:val="a8"/>
    <w:uiPriority w:val="99"/>
    <w:semiHidden/>
    <w:unhideWhenUsed/>
    <w:rsid w:val="007927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27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94908&amp;date=29.01.2026&amp;dst=10002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29.01.2026&amp;dst=100096&amp;field=134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1179</Words>
  <Characters>6721</Characters>
  <Application>Microsoft Office Word</Application>
  <DocSecurity>0</DocSecurity>
  <Lines>56</Lines>
  <Paragraphs>15</Paragraphs>
  <ScaleCrop>false</ScaleCrop>
  <Company>КонсультантПлюс Версия 4025.00.30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28.11.2025 N 986
"Об утверждении тарифов на социальные услуги на 2026 год"</dc:title>
  <dc:creator>Наталья С. Иванова</dc:creator>
  <cp:lastModifiedBy>INS</cp:lastModifiedBy>
  <cp:revision>5</cp:revision>
  <cp:lastPrinted>2026-01-29T11:36:00Z</cp:lastPrinted>
  <dcterms:created xsi:type="dcterms:W3CDTF">2026-01-29T11:19:00Z</dcterms:created>
  <dcterms:modified xsi:type="dcterms:W3CDTF">2026-01-29T11:37:00Z</dcterms:modified>
</cp:coreProperties>
</file>